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927877" w:rsidRPr="00927877" w:rsidRDefault="00C96AD4" w:rsidP="009278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П</w:t>
      </w:r>
      <w:r w:rsidR="00927877" w:rsidRPr="00927877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27877" w:rsidRPr="00927877">
        <w:rPr>
          <w:rFonts w:eastAsiaTheme="minorEastAsia" w:cstheme="minorHAnsi"/>
          <w:bCs/>
          <w:iCs/>
          <w:lang w:eastAsia="ru-RU"/>
        </w:rPr>
        <w:t>» объединяет распределительные сетевые комплексы 4 субъектов Российской Федерации: Республики Калмыкия, Астраханской, Волгоградской и Ростовской областей.</w:t>
      </w:r>
    </w:p>
    <w:p w:rsidR="00927877" w:rsidRPr="00927877" w:rsidRDefault="00927877" w:rsidP="00927877">
      <w:pPr>
        <w:widowControl w:val="0"/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</w:t>
      </w:r>
      <w:proofErr w:type="spellStart"/>
      <w:r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Pr="00927877">
        <w:rPr>
          <w:rFonts w:eastAsiaTheme="minorEastAsia" w:cstheme="minorHAnsi"/>
          <w:bCs/>
          <w:iCs/>
          <w:lang w:eastAsia="ru-RU"/>
        </w:rPr>
        <w:t xml:space="preserve">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в регионах конфигурации сетей </w:t>
      </w:r>
      <w:r w:rsidR="00DB24FA">
        <w:rPr>
          <w:rFonts w:eastAsiaTheme="minorEastAsia" w:cstheme="minorHAnsi"/>
          <w:bCs/>
          <w:iCs/>
          <w:lang w:eastAsia="ru-RU"/>
        </w:rPr>
        <w:t>П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927877" w:rsidRDefault="0094232C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lang w:eastAsia="ru-RU"/>
        </w:rPr>
      </w:pPr>
      <w:r>
        <w:rPr>
          <w:rFonts w:eastAsiaTheme="minorEastAsia" w:cstheme="minorHAnsi"/>
          <w:lang w:eastAsia="ru-RU"/>
        </w:rPr>
        <w:t>Основные ф</w:t>
      </w:r>
      <w:r w:rsidR="00927877" w:rsidRPr="00927877">
        <w:rPr>
          <w:rFonts w:eastAsiaTheme="minorEastAsia" w:cstheme="minorHAnsi"/>
          <w:lang w:eastAsia="ru-RU"/>
        </w:rPr>
        <w:t xml:space="preserve">акторы, </w:t>
      </w:r>
      <w:r>
        <w:rPr>
          <w:rFonts w:eastAsiaTheme="minorEastAsia" w:cstheme="minorHAnsi"/>
          <w:lang w:eastAsia="ru-RU"/>
        </w:rPr>
        <w:t>негативно влияющие на экономику в отрасли и</w:t>
      </w:r>
      <w:r w:rsidR="00927877" w:rsidRPr="00927877">
        <w:rPr>
          <w:rFonts w:eastAsiaTheme="minorEastAsia" w:cstheme="minorHAnsi"/>
          <w:lang w:eastAsia="ru-RU"/>
        </w:rPr>
        <w:t xml:space="preserve"> сбыт </w:t>
      </w:r>
      <w:r>
        <w:rPr>
          <w:rFonts w:eastAsiaTheme="minorEastAsia" w:cstheme="minorHAnsi"/>
          <w:lang w:eastAsia="ru-RU"/>
        </w:rPr>
        <w:t>оказываемых Обществом услуг</w:t>
      </w:r>
      <w:r w:rsidR="00310092">
        <w:rPr>
          <w:rFonts w:eastAsiaTheme="minorEastAsia" w:cstheme="minorHAnsi"/>
          <w:lang w:eastAsia="ru-RU"/>
        </w:rPr>
        <w:t>: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предприятиями (рецессия производства).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износом энергетического оборудования.</w:t>
      </w:r>
    </w:p>
    <w:p w:rsidR="006460BD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 технологического присоединения. Для выполнения своих обязательств перед льготной категорией заявителей по договорам об осуществлении технологического присоединения сетевая организация вынуждена привлекать дополнительные заемные средства, оплачивать проценты по привлекаемым кредитам.</w:t>
      </w:r>
      <w:r w:rsidR="006460BD">
        <w:rPr>
          <w:rFonts w:eastAsiaTheme="minorEastAsia" w:cstheme="minorHAnsi"/>
          <w:bCs/>
          <w:iCs/>
          <w:lang w:eastAsia="ru-RU"/>
        </w:rPr>
        <w:t xml:space="preserve"> 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="00927877"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="00927877" w:rsidRPr="00927877">
        <w:rPr>
          <w:rFonts w:eastAsiaTheme="minorEastAsia" w:cstheme="minorHAnsi"/>
          <w:bCs/>
          <w:iCs/>
          <w:lang w:eastAsia="ru-RU"/>
        </w:rPr>
        <w:t xml:space="preserve">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в области регулирования тарифов.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C90BDB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E17422" w:rsidRDefault="00E17422">
      <w:pPr>
        <w:rPr>
          <w:rFonts w:cstheme="minorHAnsi"/>
          <w:b/>
        </w:rPr>
      </w:pPr>
    </w:p>
    <w:p w:rsidR="00C90BDB" w:rsidRDefault="00C90BDB">
      <w:pPr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lastRenderedPageBreak/>
        <w:t>6.8.2. Рыночная доля Общества, каждого из видов деятельности Общества</w:t>
      </w:r>
      <w:bookmarkStart w:id="0" w:name="_GoBack"/>
      <w:bookmarkEnd w:id="0"/>
    </w:p>
    <w:p w:rsidR="00DD1CE7" w:rsidRDefault="00C96AD4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</w:t>
      </w:r>
      <w:r w:rsidR="00DD1CE7" w:rsidRPr="00DD1CE7">
        <w:rPr>
          <w:rFonts w:cstheme="minorHAnsi"/>
        </w:rPr>
        <w:t>АО «</w:t>
      </w:r>
      <w:proofErr w:type="spellStart"/>
      <w:r w:rsidR="00DA743C">
        <w:rPr>
          <w:rFonts w:cstheme="minorHAnsi"/>
        </w:rPr>
        <w:t>Россети</w:t>
      </w:r>
      <w:proofErr w:type="spellEnd"/>
      <w:r w:rsidR="00DA743C">
        <w:rPr>
          <w:rFonts w:cstheme="minorHAnsi"/>
        </w:rPr>
        <w:t xml:space="preserve"> Юг</w:t>
      </w:r>
      <w:r w:rsidR="00DD1CE7" w:rsidRPr="00DD1CE7">
        <w:rPr>
          <w:rFonts w:cstheme="minorHAnsi"/>
        </w:rPr>
        <w:t>» осуществляет следующие виды деятельности:</w:t>
      </w:r>
      <w:r w:rsidR="00DD1CE7">
        <w:rPr>
          <w:rFonts w:cstheme="minorHAnsi"/>
        </w:rPr>
        <w:t xml:space="preserve"> передача электроэнергии, технологическое присоединение, </w:t>
      </w:r>
      <w:r w:rsidR="00E450CB">
        <w:rPr>
          <w:rFonts w:cstheme="minorHAnsi"/>
        </w:rPr>
        <w:t xml:space="preserve">реализация электроэнергии (подхват деятельности гарантирующего поставщика в Республике Калмыкия), </w:t>
      </w:r>
      <w:r w:rsidR="00DD1CE7">
        <w:rPr>
          <w:rFonts w:cstheme="minorHAnsi"/>
        </w:rPr>
        <w:t>прочие виды деятельности промышленного и непромышленного характера.</w:t>
      </w:r>
    </w:p>
    <w:p w:rsidR="00DD1CE7" w:rsidRDefault="006D43DF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По итогам деятельности </w:t>
      </w:r>
      <w:r w:rsidR="009A13A1">
        <w:rPr>
          <w:rFonts w:cstheme="minorHAnsi"/>
        </w:rPr>
        <w:t xml:space="preserve">за </w:t>
      </w:r>
      <w:r w:rsidR="00F37DA7">
        <w:rPr>
          <w:rFonts w:cstheme="minorHAnsi"/>
        </w:rPr>
        <w:t xml:space="preserve">9 месяцев </w:t>
      </w:r>
      <w:r w:rsidR="009A13A1">
        <w:rPr>
          <w:rFonts w:cstheme="minorHAnsi"/>
        </w:rPr>
        <w:t>2025</w:t>
      </w:r>
      <w:r w:rsidR="00DD1CE7">
        <w:rPr>
          <w:rFonts w:cstheme="minorHAnsi"/>
        </w:rPr>
        <w:t xml:space="preserve"> год</w:t>
      </w:r>
      <w:r w:rsidR="009A13A1">
        <w:rPr>
          <w:rFonts w:cstheme="minorHAnsi"/>
        </w:rPr>
        <w:t>а</w:t>
      </w:r>
      <w:r w:rsidR="00DD1CE7">
        <w:rPr>
          <w:rFonts w:cstheme="minorHAnsi"/>
        </w:rPr>
        <w:t xml:space="preserve"> доля каждого вида деятельности в общем объёме выручки от реализации услуг составила:</w:t>
      </w:r>
    </w:p>
    <w:p w:rsidR="00DD1CE7" w:rsidRPr="00DD1CE7" w:rsidRDefault="00DD1CE7" w:rsidP="005F4681">
      <w:pPr>
        <w:jc w:val="both"/>
        <w:rPr>
          <w:rFonts w:cstheme="minorHAnsi"/>
        </w:rPr>
      </w:pPr>
    </w:p>
    <w:p w:rsidR="00DD1CE7" w:rsidRPr="00DD0FC7" w:rsidRDefault="0033316F" w:rsidP="00DD0FC7">
      <w:pPr>
        <w:rPr>
          <w:rFonts w:cstheme="minorHAnsi"/>
          <w:b/>
        </w:rPr>
      </w:pPr>
      <w:r>
        <w:rPr>
          <w:noProof/>
          <w:lang w:eastAsia="ru-RU"/>
        </w:rPr>
        <w:drawing>
          <wp:inline distT="0" distB="0" distL="0" distR="0" wp14:anchorId="2721FFB5" wp14:editId="5E5B8943">
            <wp:extent cx="5806440" cy="30861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5566"/>
        <w:gridCol w:w="1937"/>
        <w:gridCol w:w="1701"/>
      </w:tblGrid>
      <w:tr w:rsidR="00F37DA7" w:rsidRPr="00F37DA7" w:rsidTr="00F37DA7">
        <w:trPr>
          <w:trHeight w:val="885"/>
        </w:trPr>
        <w:tc>
          <w:tcPr>
            <w:tcW w:w="5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Наименование 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 9 месяцев 2025 года факт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Доля вида деятельности</w:t>
            </w:r>
          </w:p>
        </w:tc>
      </w:tr>
      <w:tr w:rsidR="00F37DA7" w:rsidRPr="00F37DA7" w:rsidTr="00F37DA7">
        <w:trPr>
          <w:trHeight w:val="464"/>
        </w:trPr>
        <w:tc>
          <w:tcPr>
            <w:tcW w:w="5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</w:tr>
      <w:tr w:rsidR="00F37DA7" w:rsidRPr="00F37DA7" w:rsidTr="00F37DA7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color w:val="000000"/>
                <w:lang w:eastAsia="ru-RU"/>
              </w:rPr>
              <w:t>60 199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F37DA7" w:rsidRPr="00F37DA7" w:rsidTr="00F37DA7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передаче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color w:val="000000"/>
                <w:lang w:eastAsia="ru-RU"/>
              </w:rPr>
              <w:t>57 059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color w:val="000000"/>
                <w:lang w:eastAsia="ru-RU"/>
              </w:rPr>
              <w:t>94,8%</w:t>
            </w:r>
          </w:p>
        </w:tc>
      </w:tr>
      <w:tr w:rsidR="00F37DA7" w:rsidRPr="00F37DA7" w:rsidTr="00F37DA7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color w:val="000000"/>
                <w:lang w:eastAsia="ru-RU"/>
              </w:rPr>
              <w:t>1 047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color w:val="000000"/>
                <w:lang w:eastAsia="ru-RU"/>
              </w:rPr>
              <w:t>1,7%</w:t>
            </w:r>
          </w:p>
        </w:tc>
      </w:tr>
      <w:tr w:rsidR="00F37DA7" w:rsidRPr="00F37DA7" w:rsidTr="00F37DA7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реализации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color w:val="000000"/>
                <w:lang w:eastAsia="ru-RU"/>
              </w:rPr>
              <w:t>1 310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color w:val="000000"/>
                <w:lang w:eastAsia="ru-RU"/>
              </w:rPr>
              <w:t>2,2%</w:t>
            </w:r>
          </w:p>
        </w:tc>
      </w:tr>
      <w:tr w:rsidR="00F37DA7" w:rsidRPr="00F37DA7" w:rsidTr="00F37DA7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прочей продукции (услуг)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color w:val="000000"/>
                <w:lang w:eastAsia="ru-RU"/>
              </w:rPr>
              <w:t>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DA7" w:rsidRPr="00F37DA7" w:rsidRDefault="00F37DA7" w:rsidP="00F37D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DA7">
              <w:rPr>
                <w:rFonts w:ascii="Calibri" w:eastAsia="Times New Roman" w:hAnsi="Calibri" w:cs="Calibri"/>
                <w:color w:val="000000"/>
                <w:lang w:eastAsia="ru-RU"/>
              </w:rPr>
              <w:t>1,3%</w:t>
            </w:r>
          </w:p>
        </w:tc>
      </w:tr>
    </w:tbl>
    <w:p w:rsidR="00F37DA7" w:rsidRPr="00DD051C" w:rsidRDefault="00F37DA7" w:rsidP="00DD051C">
      <w:pPr>
        <w:tabs>
          <w:tab w:val="left" w:pos="1560"/>
        </w:tabs>
        <w:rPr>
          <w:rFonts w:cstheme="minorHAnsi"/>
        </w:rPr>
      </w:pPr>
    </w:p>
    <w:sectPr w:rsidR="00F37DA7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54D6E"/>
    <w:rsid w:val="000671A5"/>
    <w:rsid w:val="000717BB"/>
    <w:rsid w:val="000C5D3A"/>
    <w:rsid w:val="000D532B"/>
    <w:rsid w:val="00153B3E"/>
    <w:rsid w:val="001711F8"/>
    <w:rsid w:val="00180BF1"/>
    <w:rsid w:val="001B50AC"/>
    <w:rsid w:val="001E0FE1"/>
    <w:rsid w:val="002836FA"/>
    <w:rsid w:val="00286828"/>
    <w:rsid w:val="00290DE7"/>
    <w:rsid w:val="0029504F"/>
    <w:rsid w:val="002D191E"/>
    <w:rsid w:val="002D2210"/>
    <w:rsid w:val="002F0ADD"/>
    <w:rsid w:val="002F1EDC"/>
    <w:rsid w:val="00310092"/>
    <w:rsid w:val="0033316F"/>
    <w:rsid w:val="00335C08"/>
    <w:rsid w:val="003A7F7F"/>
    <w:rsid w:val="003D0262"/>
    <w:rsid w:val="003D1885"/>
    <w:rsid w:val="004356F0"/>
    <w:rsid w:val="0048458F"/>
    <w:rsid w:val="004A63B6"/>
    <w:rsid w:val="004A7373"/>
    <w:rsid w:val="004C5282"/>
    <w:rsid w:val="00527315"/>
    <w:rsid w:val="00540640"/>
    <w:rsid w:val="00574F98"/>
    <w:rsid w:val="005A2072"/>
    <w:rsid w:val="005D17D3"/>
    <w:rsid w:val="005F4681"/>
    <w:rsid w:val="00643702"/>
    <w:rsid w:val="006460BD"/>
    <w:rsid w:val="00666ABA"/>
    <w:rsid w:val="00672A04"/>
    <w:rsid w:val="006C14CF"/>
    <w:rsid w:val="006D43DF"/>
    <w:rsid w:val="007B1F52"/>
    <w:rsid w:val="0088755C"/>
    <w:rsid w:val="008C4689"/>
    <w:rsid w:val="00920F01"/>
    <w:rsid w:val="00927877"/>
    <w:rsid w:val="00935DCF"/>
    <w:rsid w:val="0094232C"/>
    <w:rsid w:val="009A033E"/>
    <w:rsid w:val="009A13A1"/>
    <w:rsid w:val="009B31E9"/>
    <w:rsid w:val="009C411E"/>
    <w:rsid w:val="00A561FF"/>
    <w:rsid w:val="00AF78CE"/>
    <w:rsid w:val="00B179C6"/>
    <w:rsid w:val="00BC2787"/>
    <w:rsid w:val="00BF36D2"/>
    <w:rsid w:val="00C90BDB"/>
    <w:rsid w:val="00C96AD4"/>
    <w:rsid w:val="00D02B67"/>
    <w:rsid w:val="00D17463"/>
    <w:rsid w:val="00D23442"/>
    <w:rsid w:val="00DA743C"/>
    <w:rsid w:val="00DB24FA"/>
    <w:rsid w:val="00DB3A28"/>
    <w:rsid w:val="00DB7B45"/>
    <w:rsid w:val="00DD051C"/>
    <w:rsid w:val="00DD0FC7"/>
    <w:rsid w:val="00DD1CE7"/>
    <w:rsid w:val="00E17422"/>
    <w:rsid w:val="00E202A5"/>
    <w:rsid w:val="00E450CB"/>
    <w:rsid w:val="00E851A9"/>
    <w:rsid w:val="00EA19B1"/>
    <w:rsid w:val="00F14956"/>
    <w:rsid w:val="00F37DA7"/>
    <w:rsid w:val="00F604B9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DF47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выручки от оказанных услуг </a:t>
            </a:r>
          </a:p>
          <a:p>
            <a:pPr>
              <a:defRPr sz="1400"/>
            </a:pPr>
            <a:r>
              <a:rPr lang="ru-RU" sz="1400"/>
              <a:t>за 9</a:t>
            </a:r>
            <a:r>
              <a:rPr lang="ru-RU" sz="1400" baseline="0"/>
              <a:t> месяцев</a:t>
            </a:r>
            <a:r>
              <a:rPr lang="ru-RU" sz="1400"/>
              <a:t> </a:t>
            </a:r>
            <a:r>
              <a:rPr lang="en-US" sz="1400"/>
              <a:t>202</a:t>
            </a:r>
            <a:r>
              <a:rPr lang="ru-RU" sz="1400"/>
              <a:t>5 года, млн. рублей </a:t>
            </a:r>
          </a:p>
        </c:rich>
      </c:tx>
      <c:layout>
        <c:manualLayout>
          <c:xMode val="edge"/>
          <c:yMode val="edge"/>
          <c:x val="0.19737753297800617"/>
          <c:y val="2.2857142857142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2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47591789313893E-2"/>
          <c:y val="0.2151700037495313"/>
          <c:w val="0.67500811994623455"/>
          <c:h val="0.760559277368554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36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35-438D-BAEF-788FB2F3E8FE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35-438D-BAEF-788FB2F3E8FE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A35-438D-BAEF-788FB2F3E8FE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A35-438D-BAEF-788FB2F3E8FE}"/>
              </c:ext>
            </c:extLst>
          </c:dPt>
          <c:dLbls>
            <c:dLbl>
              <c:idx val="0"/>
              <c:layout>
                <c:manualLayout>
                  <c:x val="5.8191594160966101E-2"/>
                  <c:y val="5.6554875085058812E-2"/>
                </c:manualLayout>
              </c:layout>
              <c:tx>
                <c:rich>
                  <a:bodyPr/>
                  <a:lstStyle/>
                  <a:p>
                    <a:fld id="{B41F6AA4-0E7C-4C58-8BC9-E2A2B733D015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r>
                      <a:rPr lang="ru-RU" baseline="0"/>
                      <a:t> </a:t>
                    </a:r>
                    <a:fld id="{B384814B-1B82-457E-9FBD-A30197DB7D4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35-438D-BAEF-788FB2F3E8FE}"/>
                </c:ext>
              </c:extLst>
            </c:dLbl>
            <c:dLbl>
              <c:idx val="1"/>
              <c:layout>
                <c:manualLayout>
                  <c:x val="-0.13769555872445077"/>
                  <c:y val="7.7413240011665205E-2"/>
                </c:manualLayout>
              </c:layout>
              <c:tx>
                <c:rich>
                  <a:bodyPr/>
                  <a:lstStyle/>
                  <a:p>
                    <a:fld id="{35BCA558-7A83-4E6A-A26E-44864D943851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6B8BCDD1-9147-4C8A-9B78-FAB6E71B5D9E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35-438D-BAEF-788FB2F3E8FE}"/>
                </c:ext>
              </c:extLst>
            </c:dLbl>
            <c:dLbl>
              <c:idx val="2"/>
              <c:layout>
                <c:manualLayout>
                  <c:x val="-0.11313300404378586"/>
                  <c:y val="-6.1587440458831536E-2"/>
                </c:manualLayout>
              </c:layout>
              <c:tx>
                <c:rich>
                  <a:bodyPr/>
                  <a:lstStyle/>
                  <a:p>
                    <a:fld id="{CBE858DB-C57F-4719-9B36-9C3ADA28E485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млн.рублей</a:t>
                    </a:r>
                    <a:r>
                      <a:rPr lang="ru-RU" baseline="0"/>
                      <a:t>;</a:t>
                    </a:r>
                  </a:p>
                  <a:p>
                    <a:fld id="{6E05D6E4-D3FB-4E26-A910-E73CDB686D97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35-438D-BAEF-788FB2F3E8FE}"/>
                </c:ext>
              </c:extLst>
            </c:dLbl>
            <c:dLbl>
              <c:idx val="3"/>
              <c:layout>
                <c:manualLayout>
                  <c:x val="0.13153257417625938"/>
                  <c:y val="-3.8400894332652882E-2"/>
                </c:manualLayout>
              </c:layout>
              <c:tx>
                <c:rich>
                  <a:bodyPr/>
                  <a:lstStyle/>
                  <a:p>
                    <a:fld id="{B7EB9997-5756-4737-9612-15F69E6FE7B4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01E890D8-6562-43E4-A79D-0D570B076E4C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35-438D-BAEF-788FB2F3E8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Лист1!$D$29:$J$29</c:f>
              <c:strCache>
                <c:ptCount val="4"/>
                <c:pt idx="0">
                  <c:v>Передача электроэнергии</c:v>
                </c:pt>
                <c:pt idx="1">
                  <c:v>Реализация электроэнергии</c:v>
                </c:pt>
                <c:pt idx="2">
                  <c:v>Технологическое  присоединение</c:v>
                </c:pt>
                <c:pt idx="3">
                  <c:v>Прочая деятельность</c:v>
                </c:pt>
              </c:strCache>
            </c:strRef>
          </c:cat>
          <c:val>
            <c:numRef>
              <c:f>Лист1!$D$30:$J$30</c:f>
              <c:numCache>
                <c:formatCode>#,##0</c:formatCode>
                <c:ptCount val="4"/>
                <c:pt idx="0">
                  <c:v>57058.941416905502</c:v>
                </c:pt>
                <c:pt idx="1">
                  <c:v>1310.08539238818</c:v>
                </c:pt>
                <c:pt idx="2">
                  <c:v>1047.3578488799999</c:v>
                </c:pt>
                <c:pt idx="3">
                  <c:v>782.65918018000002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35-438D-BAEF-788FB2F3E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35653136249734"/>
          <c:y val="0.1374579311658623"/>
          <c:w val="0.26271939755511176"/>
          <c:h val="0.71500349250698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B7F8-5533-4ADE-A1CF-B965A309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Ласкова Мария Борисовна</cp:lastModifiedBy>
  <cp:revision>42</cp:revision>
  <dcterms:created xsi:type="dcterms:W3CDTF">2018-05-16T12:25:00Z</dcterms:created>
  <dcterms:modified xsi:type="dcterms:W3CDTF">2025-11-12T08:06:00Z</dcterms:modified>
</cp:coreProperties>
</file>